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styles.xml" ContentType="application/vnd.openxmlformats-officedocument.wordprocessingml.styl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91a6d88decd046f4" /></Relationships>
</file>

<file path=word/document.xml><?xml version="1.0" encoding="utf-8"?>
<w:document xmlns:w="http://schemas.openxmlformats.org/wordprocessingml/2006/main">
  <w:body>
    <w:tbl>
      <w:tblPr>
        <w:tblW w:w="9000" w:type="dxa"/>
        <w:tblBorders>
          <w:top w:val="nil"/>
          <w:bottom w:val="nil"/>
          <w:left w:val="nil"/>
          <w:right w:val="nil"/>
          <w:insideH w:val="nil"/>
          <w:insideV w:val="nil"/>
        </w:tblBorders>
        <w:tblCellSpacing w:w="60" w:type="dxa"/>
        <w:shd w:val="clear" w:color="auto" w:fill="E7F0F9"/>
      </w:tblPr>
      <w:tblGrid>
        <w:gridCol w:w="1200"/>
        <w:gridCol w:w="4500"/>
      </w:tblGrid>
      <w:tr>
        <w:tc>
          <w:tcPr>
            <w:tcW w:w="1200" w:type="pct"/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rPr>
                <w:b/>
              </w:rPr>
              <w:t xml:space="preserve">RKP broj</w:t>
            </w:r>
          </w:p>
        </w:tc>
        <w:tc>
          <w:tcPr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t xml:space="preserve">11574</w:t>
            </w:r>
          </w:p>
        </w:tc>
      </w:tr>
      <w:tr>
        <w:tc>
          <w:tcPr>
            <w:tcW w:w="1200" w:type="pct"/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rPr>
                <w:b/>
              </w:rPr>
              <w:t xml:space="preserve">Naziv obveznika</w:t>
            </w:r>
          </w:p>
        </w:tc>
        <w:tc>
          <w:tcPr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t xml:space="preserve">I. OSNOVNA ŠKOLA PETRINJA</w:t>
            </w:r>
          </w:p>
        </w:tc>
      </w:tr>
      <w:tr>
        <w:tc>
          <w:tcPr>
            <w:tcW w:w="1200" w:type="pct"/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rPr>
                <w:b/>
              </w:rPr>
              <w:t xml:space="preserve">Razina</w:t>
            </w:r>
          </w:p>
        </w:tc>
        <w:tc>
          <w:tcPr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t xml:space="preserve">31</w:t>
            </w:r>
          </w:p>
        </w:tc>
      </w:tr>
    </w:tbl>
    <w:p>
      <w:r>
        <w:br/>
      </w:r>
    </w:p>
    <w:p>
      <w:pPr>
        <w:jc w:val="center"/>
        <w:pStyle w:val="Normal"/>
        <w:spacing w:line="240" w:lineRule="auto"/>
      </w:pPr>
      <w:r>
        <w:rPr>
          <w:b/>
          <w:sz w:val="28"/>
          <w:rFonts w:ascii="Times New Roman" w:hAnsi="Times New Roman"/>
        </w:rPr>
        <w:t xml:space="preserve">BILJEŠKE UZ FINANCIJSKE IZVJEŠTAJE</w:t>
      </w:r>
    </w:p>
    <w:p>
      <w:pPr>
        <w:jc w:val="center"/>
        <w:pStyle w:val="Normal"/>
        <w:spacing w:line="240" w:lineRule="auto"/>
      </w:pPr>
      <w:r>
        <w:rPr>
          <w:b/>
          <w:sz w:val="28"/>
          <w:rFonts w:ascii="Times New Roman" w:hAnsi="Times New Roman"/>
        </w:rPr>
        <w:t xml:space="preserve">ZA RAZDOBLJE</w:t>
      </w:r>
    </w:p>
    <w:p>
      <w:pPr>
        <w:jc w:val="center"/>
        <w:pStyle w:val="Normal"/>
        <w:spacing w:line="240" w:lineRule="auto"/>
      </w:pPr>
      <w:r>
        <w:rPr>
          <w:b/>
          <w:sz w:val="28"/>
          <w:rFonts w:ascii="Times New Roman" w:hAnsi="Times New Roman"/>
        </w:rPr>
        <w:t xml:space="preserve">I - XII 2025.</w:t>
      </w:r>
    </w:p>
    <w:p/>
    <w:p>
      <w:pPr>
        <w:jc w:val="center"/>
        <w:pStyle w:val="Normal"/>
        <w:spacing w:line="240" w:lineRule="auto"/>
        <w:keepNext/>
      </w:pPr>
      <w:r>
        <w:rPr>
          <w:b/>
          <w:sz w:val="28"/>
          <w:rFonts w:ascii="Times New Roman" w:hAnsi="Times New Roman"/>
        </w:rPr>
        <w:t xml:space="preserve">Izvještaj o prihodima i rashodima, primicima i izdacima</w:t>
      </w:r>
    </w:p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0" w:type="auto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PRIHODI POSLOVANJA (šifre 61+62+63+64+65+66+67+68)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1.784.385,05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1.978.532,46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110,9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RASHODI POSLOVANJA (šifre 31+32+34+35+36+37+38)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1.668.727,06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2.120.115,20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127,0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MANJAK PRIHODA POSLOVANJA (šifre Z005-6)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Y001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141.582,74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-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Prihodi od prodaje nefinancijske imovine (šifre 71+72+73+74)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Rashodi za nabavu nefinancijske imovine (šifre 41+42+43+44+45)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112.044,87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40.661,26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36,3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MANJAK PRIHODA OD NEFINANCIJSKE IMOVINE (šifre 4-7)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Y002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112.044,87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40.661,26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36,3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Primici od financijske imovine i zaduživanja (šifre 81+82+83+84+85)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Izdaci za financijsku imovinu i otplate zajmova (šifre 51+52+53+54+55)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VIŠAK/MANJAK PRIMITAKA OD FINANCIJSKE IMOVINE I ZADUŽIVANJA (šifre 8-5, 5-8)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X003, Y003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-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MANJAK PRIHODA I PRIMITAKA (šifre Y345-X678)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Y005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182.244,00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Manjak prihoda i primitaka u izvještajnom razdoblju evidentiran je u iznosu 182.244,00 zbog evidentiranih rashoda za plaću 12/25 koja terete ovo izvještajno razdoblje a nisu priznati prihodi, kao i troškovi namirnica za školsku kuhinju za koje nije evidentiran prihod MZOM. Manjak prihoda od nefinancijske imovine pokriven je viškom iz prethodnog razdoblja, te korekcijom rezultata poslovanja. </w:t>
      </w:r>
    </w:p>
    <w:p>
      <w:r>
        <w:br/>
      </w:r>
    </w:p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6526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Ostali nespomenuti prihodi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6526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13.330,29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27.932,36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209,5</w:t>
            </w:r>
          </w:p>
        </w:tc>
      </w:tr>
    </w:tbl>
    <w:p>
      <w:pPr>
        <w:spacing w:before="0" w:after="0"/>
      </w:pPr>
    </w:p>
    <w:p>
      <w:r>
        <w:t xml:space="preserve">Ostali nespomenuti prihodi poslovanja se uglavnom odnose na prihod za program produženog boravka. Prihod je veći u odnosu na prošlu godinu zbog većeg broja učenika koji sudjeluju u programu produženog boravka.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3.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6614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Prihodi od prodaje proizvoda i robe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6614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281,10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Prihod se odnosi na prodaju proizvoda školske zadruge Sunce, koja je od ove godine počela aktivno s radom.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4.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6615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Prihodi od pruženih usluga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6615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120,00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1.040,00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866,7</w:t>
            </w:r>
          </w:p>
        </w:tc>
      </w:tr>
    </w:tbl>
    <w:p>
      <w:pPr>
        <w:spacing w:before="0" w:after="0"/>
      </w:pPr>
    </w:p>
    <w:p>
      <w:r>
        <w:t xml:space="preserve">Prihodi od pruženih usluga se odnose na najam školske sportske dvorane.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5.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6631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Tekuće donacije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6631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400,00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666,7</w:t>
            </w:r>
          </w:p>
        </w:tc>
      </w:tr>
    </w:tbl>
    <w:p>
      <w:pPr>
        <w:spacing w:before="0" w:after="0"/>
      </w:pPr>
    </w:p>
    <w:p>
      <w:r>
        <w:t xml:space="preserve">Ove godine dobili smo donaciju u iznosu 400,00 € za potrebe redovnog poslovanja škole.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6.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6711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Prihodi iz nadležnog proračuna za financiranje rashoda poslovanja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6711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185.086,78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269.501,39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145,6</w:t>
            </w:r>
          </w:p>
        </w:tc>
      </w:tr>
    </w:tbl>
    <w:p>
      <w:pPr>
        <w:spacing w:before="0" w:after="0"/>
      </w:pPr>
    </w:p>
    <w:p>
      <w:r>
        <w:t xml:space="preserve">Ove godine je financirano je iz proračuna više rashoda za financiranje redovnog poslovanja nego prošle godine zbog većih režijskih troškova i troškova održavanja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7.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6712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Prihodi iz nadležnog proračuna za financiranje rashoda za nabavu nefinancijske imovine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6712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87.349,60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1.465,63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1,7</w:t>
            </w:r>
          </w:p>
        </w:tc>
      </w:tr>
    </w:tbl>
    <w:p>
      <w:pPr>
        <w:spacing w:before="0" w:after="0"/>
      </w:pPr>
    </w:p>
    <w:p>
      <w:r>
        <w:t xml:space="preserve">Prošle godine nabavljeno je namještaja i opreme financiranih iz nadležnog proračuna, što ove godine nije bio slučaj.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8.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3111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Plaće za redovan rad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3111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1.144.625,94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1.507.413,05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131,7</w:t>
            </w:r>
          </w:p>
        </w:tc>
      </w:tr>
    </w:tbl>
    <w:p>
      <w:pPr>
        <w:spacing w:before="0" w:after="0"/>
      </w:pPr>
    </w:p>
    <w:p>
      <w:r>
        <w:t xml:space="preserve">Trošak plaća je u ovom izvještajnom razdoblju veći nego u prethodnom izvještajnom razdoblju zbog toga što se plaće za prosinac više ne knjiže kao kontinuirani rashod već terete tekuću godinu.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9.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3222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Materijal i sirovine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3222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83.383,31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101.433,98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121,6</w:t>
            </w:r>
          </w:p>
        </w:tc>
      </w:tr>
    </w:tbl>
    <w:p>
      <w:pPr>
        <w:spacing w:before="0" w:after="0"/>
      </w:pPr>
    </w:p>
    <w:p>
      <w:r>
        <w:t xml:space="preserve">Zbog povećanog broja učenika u odnosu na prošlu godinu, povećani su i rashodi za materijal i sirovine, odnosno namirnice za školsku kuhinju.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10.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3223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Energija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3223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41.986,45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56.089,44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133,6</w:t>
            </w:r>
          </w:p>
        </w:tc>
      </w:tr>
    </w:tbl>
    <w:p>
      <w:pPr>
        <w:spacing w:before="0" w:after="0"/>
      </w:pPr>
    </w:p>
    <w:p>
      <w:r>
        <w:t xml:space="preserve">Trošak el.energije je povećan u odnosu na prošlu godinu zbog priključka obnovljene škole na el.energiju, koja je naknadno darovana SMŽ.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11.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3234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Komunalne usluge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3234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6.910,87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9.340,34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135,2</w:t>
            </w:r>
          </w:p>
        </w:tc>
      </w:tr>
    </w:tbl>
    <w:p>
      <w:pPr>
        <w:spacing w:before="0" w:after="0"/>
      </w:pPr>
    </w:p>
    <w:p>
      <w:r>
        <w:t xml:space="preserve">Komunalne usluge su veće nego u  izvještajnom razdoblju prethodne godine zbog priključka na vodovodnu mrežu obnovljenu zgradu koja je kasnije darovana SMŽ.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12.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3237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Intelektualne i osobne usluge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3237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909,13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2.687,19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295,6</w:t>
            </w:r>
          </w:p>
        </w:tc>
      </w:tr>
    </w:tbl>
    <w:p>
      <w:pPr>
        <w:spacing w:before="0" w:after="0"/>
      </w:pPr>
    </w:p>
    <w:p>
      <w:r>
        <w:t xml:space="preserve">Intelektualne usluge su veće zbog provođenja radionica vanjskih suradnika.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13.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3239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Ostale usluge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3239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2.000,01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7.486,35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374,3</w:t>
            </w:r>
          </w:p>
        </w:tc>
      </w:tr>
    </w:tbl>
    <w:p>
      <w:pPr>
        <w:spacing w:before="0" w:after="0"/>
      </w:pPr>
    </w:p>
    <w:p>
      <w:r>
        <w:t xml:space="preserve">Ostale usluge su veće u tekućem izvještajnom razdoblju zbog troška vatrodojave koja je knjižena tu što prošle godine nije bio slučaj.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14.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Financijski rashodi (šifre 341+342+343)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1.104,18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602,33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54,5</w:t>
            </w:r>
          </w:p>
        </w:tc>
      </w:tr>
    </w:tbl>
    <w:p>
      <w:pPr>
        <w:spacing w:before="0" w:after="0"/>
      </w:pPr>
    </w:p>
    <w:p>
      <w:r>
        <w:t xml:space="preserve">Financijski rashodi su značajno manji nego prošlo izvještajno razdoblje zbog ukidanja žiro računa škole i ulaska u potpunu riznicu.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15.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4221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Uredska oprema i namještaj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4221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45.054,34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375,97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0,8</w:t>
            </w:r>
          </w:p>
        </w:tc>
      </w:tr>
    </w:tbl>
    <w:p>
      <w:pPr>
        <w:spacing w:before="0" w:after="0"/>
      </w:pPr>
    </w:p>
    <w:p>
      <w:r>
        <w:t xml:space="preserve">Prošle godine nabavljeno je namještaja i opreme za opremanje škole, dok ove godine to nije bio slučaj.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16.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4231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Prijevozna sredstva u cestovnom prometu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4231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16.500,00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Nabavljeno je novo kombi vozilo.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17.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4241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Knjige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4241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33.986,93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16.839,33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49,5</w:t>
            </w:r>
          </w:p>
        </w:tc>
      </w:tr>
    </w:tbl>
    <w:p>
      <w:pPr>
        <w:spacing w:before="0" w:after="0"/>
      </w:pPr>
    </w:p>
    <w:p>
      <w:r>
        <w:t xml:space="preserve">Ovo izvještajno razdoblje nabavljenu su samo knjige za lektiru financirane MZOM, dok se prošlo izvještajno razdoblje obnavljao knjižni fond iz izvora decentraliziranih sredstava.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18.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Stanje novčanih sredstava na kraju izvještajnog razdoblja (šifre 11P + '11-dugov.' - '11-potraž.')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11K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70.004,13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</w:t>
            </w:r>
          </w:p>
        </w:tc>
      </w:tr>
    </w:tbl>
    <w:p>
      <w:pPr>
        <w:spacing w:before="0" w:after="0"/>
      </w:pPr>
    </w:p>
    <w:p>
      <w:r>
        <w:t xml:space="preserve">2.7.2025. godine škola je ukinula svoj račun i ušla u punu riznicu županije.</w:t>
      </w:r>
    </w:p>
    <w:p/>
    <w:p>
      <w:pPr>
        <w:jc w:val="center"/>
        <w:pStyle w:val="Normal"/>
        <w:spacing w:line="240" w:lineRule="auto"/>
        <w:keepNext/>
      </w:pPr>
      <w:r>
        <w:rPr>
          <w:b/>
          <w:sz w:val="28"/>
          <w:rFonts w:ascii="Times New Roman" w:hAnsi="Times New Roman"/>
        </w:rPr>
        <w:t xml:space="preserve">Bilanca</w:t>
      </w:r>
    </w:p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19.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021 i 02921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Građevinski objekti (šifre 0211 do 0214 - 02921)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021 i 02921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1.141.576,67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221.833,20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19,4</w:t>
            </w:r>
          </w:p>
        </w:tc>
      </w:tr>
    </w:tbl>
    <w:p>
      <w:pPr>
        <w:spacing w:before="0" w:after="0"/>
      </w:pPr>
    </w:p>
    <w:p>
      <w:r>
        <w:t xml:space="preserve">Građevinski objekti su manji u odnosu na prošlu godinu zbog darovanja obnovljene stare zgrade škole SMŽ.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20.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0231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Prijevozna sredstva u cestovnom prometu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0231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38.713,22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39.713,22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102,6</w:t>
            </w:r>
          </w:p>
        </w:tc>
      </w:tr>
    </w:tbl>
    <w:p>
      <w:pPr>
        <w:spacing w:before="0" w:after="0"/>
      </w:pPr>
    </w:p>
    <w:p>
      <w:r>
        <w:t xml:space="preserve">Nabavljeno je jedno novo kombi vozilo, dok je staro darovano OŠ Mladost Lekenik.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21.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129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Ostala potraživanja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129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1.328,24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7.471,34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562,5</w:t>
            </w:r>
          </w:p>
        </w:tc>
      </w:tr>
    </w:tbl>
    <w:p>
      <w:pPr>
        <w:spacing w:before="0" w:after="0"/>
      </w:pPr>
    </w:p>
    <w:p>
      <w:r>
        <w:t xml:space="preserve">Potraživanja za bolovanje na teret HZZO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22.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165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Potraživanja za upravne i administrativne pristojbe, pristojbe po posebnim propisima i naknade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165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1.982,59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5.025,43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253,5</w:t>
            </w:r>
          </w:p>
        </w:tc>
      </w:tr>
    </w:tbl>
    <w:p>
      <w:pPr>
        <w:spacing w:before="0" w:after="0"/>
      </w:pPr>
    </w:p>
    <w:p>
      <w:r>
        <w:t xml:space="preserve">Potraživanja za prihode produženog boravka.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23.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167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Potraživanja proračunskih korisnika za sredstva uplaćena u nadležni proračun i za prihode od HZZO-a na temelju ugovornih obveza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167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54.755,53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Sredstva škole na računu SMŽ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24.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231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Obveze za zaposlene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231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148.484,46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Obveze za zaposlene (plaća za 12/25) koja tereti tekuće izvještajno razdoblje.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25.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232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Obveze za materijalne rashode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232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3.111,15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24.713,11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794,3</w:t>
            </w:r>
          </w:p>
        </w:tc>
      </w:tr>
    </w:tbl>
    <w:p>
      <w:pPr>
        <w:spacing w:before="0" w:after="0"/>
      </w:pPr>
    </w:p>
    <w:p>
      <w:r>
        <w:t xml:space="preserve">Obveze za materijalne rashode koje imaju dospijeće u 2026. godini i do 31.12.2025. nisu podmirene.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26.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239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Ostale tekuće obveze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239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12.252,06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</w:t>
            </w:r>
          </w:p>
        </w:tc>
      </w:tr>
    </w:tbl>
    <w:p>
      <w:pPr>
        <w:spacing w:before="0" w:after="0"/>
      </w:pPr>
    </w:p>
    <w:p>
      <w:r>
        <w:t xml:space="preserve">Obveze za povrat u proračun koje se više ne vode na računu 239 već 276.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27.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911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Vlastiti izvori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911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1.772.843,98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762.847,39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43,0</w:t>
            </w:r>
          </w:p>
        </w:tc>
      </w:tr>
    </w:tbl>
    <w:p>
      <w:pPr>
        <w:spacing w:before="0" w:after="0"/>
      </w:pPr>
    </w:p>
    <w:p>
      <w:r>
        <w:t xml:space="preserve">Isknjiženo vozilo i zgrada.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28.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92221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Manjak prihoda poslovanja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92221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124.303,18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Evidentirani manjak poslovanja se odnosi na troškove plaće, režijske troškove i prehranu za koju još nisu priznati prihodi.</w:t>
      </w:r>
    </w:p>
    <w:p/>
    <w:p>
      <w:pPr>
        <w:jc w:val="center"/>
        <w:pStyle w:val="Normal"/>
        <w:spacing w:line="240" w:lineRule="auto"/>
        <w:keepNext/>
      </w:pPr>
      <w:r>
        <w:rPr>
          <w:b/>
          <w:sz w:val="28"/>
          <w:rFonts w:ascii="Times New Roman" w:hAnsi="Times New Roman"/>
        </w:rPr>
        <w:t xml:space="preserve">Izvještaj o rashodima prema funkcijskoj klasifikaciji</w:t>
      </w:r>
    </w:p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29.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0912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Osnovno obrazovanje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0912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1.780.771,93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2.160.776,46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121,3</w:t>
            </w:r>
          </w:p>
        </w:tc>
      </w:tr>
    </w:tbl>
    <w:p>
      <w:pPr>
        <w:spacing w:before="0" w:after="0"/>
      </w:pPr>
    </w:p>
    <w:p>
      <w:r>
        <w:t xml:space="preserve">Rashodi po funkciji osnovno obrazovanje za izvještajnom razdoblje iznosi 2.160.776,46.</w:t>
      </w:r>
    </w:p>
    <w:p/>
    <w:p>
      <w:pPr>
        <w:jc w:val="center"/>
        <w:pStyle w:val="Normal"/>
        <w:spacing w:line="240" w:lineRule="auto"/>
        <w:keepNext/>
      </w:pPr>
      <w:r>
        <w:rPr>
          <w:b/>
          <w:sz w:val="28"/>
          <w:rFonts w:ascii="Times New Roman" w:hAnsi="Times New Roman"/>
        </w:rPr>
        <w:t xml:space="preserve">Promjene u vrijednosti i obujmu imovine i obveza</w:t>
      </w:r>
    </w:p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30.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Iznos povećanja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Iznos smanjenja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Proizvedena dugotrajna imovina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P003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135.694,43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Iznos amortizacije za 2025. godinu.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31.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Iznos povećanja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Iznos smanjenja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Proizvedena dugotrajna imovina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P018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17.160,88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1.167.880,22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6805,5</w:t>
            </w:r>
          </w:p>
        </w:tc>
      </w:tr>
    </w:tbl>
    <w:p>
      <w:pPr>
        <w:spacing w:before="0" w:after="0"/>
      </w:pPr>
    </w:p>
    <w:p>
      <w:r>
        <w:t xml:space="preserve">Isknjižena vrijednost darovanog kombi vozila i zgrade.</w:t>
      </w:r>
    </w:p>
    <w:p/>
    <w:p>
      <w:pPr>
        <w:jc w:val="center"/>
        <w:pStyle w:val="Normal"/>
        <w:spacing w:line="240" w:lineRule="auto"/>
        <w:keepNext/>
      </w:pPr>
      <w:r>
        <w:rPr>
          <w:b/>
          <w:sz w:val="28"/>
          <w:rFonts w:ascii="Times New Roman" w:hAnsi="Times New Roman"/>
        </w:rPr>
        <w:t xml:space="preserve">Izvještaj o obvezama</w:t>
      </w:r>
    </w:p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32.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Iznos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/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Stanje dospjelih obveza na kraju izvještajnog razdoblja (šifre V008+D23+D24 + 'D dio 25,26' + D27)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V007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Podmirene su sve obveze kojima je dospijeće u 2025. godini.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33.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Iznos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/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Međusobne obveze subjekata općeg proračuna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V010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15.304,16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Međusobne obveze odnose se na obveze za bolovanja na teret HZZO i povrat u proračun za projekt.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34.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Iznos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Obveze za rashode poslovanja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ND23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173.197,57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Nedospjele obveze na kraju izvještajnog razdoblja za plaće 12/25 i račune kojima je dospijeće u 2026. godini. </w:t>
      </w:r>
    </w:p>
    <w:p/>
  </w:body>
</w:document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sz w:val="24"/>
      </w:rPr>
    </w:rPrDefault>
  </w:docDefaults>
  <w:style w:type="paragraph" w:styleId="Normal" w:default="true">
    <w:name w:val="Normal"/>
    <w:rPr>
      <w:rFonts w:ascii="Times New Roman" w:hAnsi="Times New Roman"/>
      <w:sz w:val="24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8e50722d056c4bb0" /></Relationships>
</file>